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5C4" w:rsidRPr="00070720" w:rsidRDefault="00A325C4" w:rsidP="00070720">
      <w:pPr>
        <w:spacing w:line="480" w:lineRule="auto"/>
        <w:rPr>
          <w:rFonts w:ascii="Times New Roman" w:hAnsi="Times New Roman" w:cs="Times New Roman"/>
          <w:sz w:val="24"/>
          <w:szCs w:val="24"/>
        </w:rPr>
      </w:pPr>
    </w:p>
    <w:p w:rsidR="00253BF2" w:rsidRPr="00070720" w:rsidRDefault="00253BF2" w:rsidP="00070720">
      <w:pPr>
        <w:spacing w:line="480" w:lineRule="auto"/>
        <w:rPr>
          <w:rFonts w:ascii="Times New Roman" w:hAnsi="Times New Roman" w:cs="Times New Roman"/>
          <w:sz w:val="24"/>
          <w:szCs w:val="24"/>
        </w:rPr>
      </w:pPr>
      <w:r w:rsidRPr="00070720">
        <w:rPr>
          <w:rFonts w:ascii="Times New Roman" w:hAnsi="Times New Roman" w:cs="Times New Roman"/>
          <w:sz w:val="24"/>
          <w:szCs w:val="24"/>
        </w:rPr>
        <w:t xml:space="preserve">  </w:t>
      </w:r>
    </w:p>
    <w:p w:rsidR="00253BF2" w:rsidRPr="00070720" w:rsidRDefault="00253BF2" w:rsidP="00070720">
      <w:pPr>
        <w:spacing w:line="480" w:lineRule="auto"/>
        <w:rPr>
          <w:rFonts w:ascii="Times New Roman" w:hAnsi="Times New Roman" w:cs="Times New Roman"/>
          <w:sz w:val="24"/>
          <w:szCs w:val="24"/>
        </w:rPr>
      </w:pPr>
    </w:p>
    <w:p w:rsidR="00253BF2" w:rsidRPr="00070720" w:rsidRDefault="00253BF2" w:rsidP="00070720">
      <w:pPr>
        <w:spacing w:line="480" w:lineRule="auto"/>
        <w:rPr>
          <w:rFonts w:ascii="Times New Roman" w:hAnsi="Times New Roman" w:cs="Times New Roman"/>
          <w:sz w:val="24"/>
          <w:szCs w:val="24"/>
        </w:rPr>
      </w:pPr>
    </w:p>
    <w:p w:rsidR="00253BF2" w:rsidRPr="00070720" w:rsidRDefault="00253BF2" w:rsidP="00070720">
      <w:pPr>
        <w:spacing w:line="480" w:lineRule="auto"/>
        <w:jc w:val="center"/>
        <w:rPr>
          <w:rFonts w:ascii="Times New Roman" w:hAnsi="Times New Roman" w:cs="Times New Roman"/>
          <w:color w:val="1D1D1D"/>
          <w:sz w:val="24"/>
          <w:szCs w:val="24"/>
          <w:shd w:val="clear" w:color="auto" w:fill="FFFFFF"/>
        </w:rPr>
      </w:pPr>
      <w:r w:rsidRPr="00070720">
        <w:rPr>
          <w:rFonts w:ascii="Times New Roman" w:hAnsi="Times New Roman" w:cs="Times New Roman"/>
          <w:color w:val="1D1D1D"/>
          <w:sz w:val="24"/>
          <w:szCs w:val="24"/>
          <w:shd w:val="clear" w:color="auto" w:fill="FFFFFF"/>
        </w:rPr>
        <w:t>The implications of Brexit on global economy</w:t>
      </w:r>
    </w:p>
    <w:p w:rsidR="00253BF2" w:rsidRPr="00070720" w:rsidRDefault="00253BF2" w:rsidP="00070720">
      <w:pPr>
        <w:spacing w:line="480" w:lineRule="auto"/>
        <w:jc w:val="center"/>
        <w:rPr>
          <w:rFonts w:ascii="Times New Roman" w:hAnsi="Times New Roman" w:cs="Times New Roman"/>
          <w:sz w:val="24"/>
          <w:szCs w:val="24"/>
        </w:rPr>
      </w:pPr>
      <w:r w:rsidRPr="00070720">
        <w:rPr>
          <w:rFonts w:ascii="Times New Roman" w:hAnsi="Times New Roman" w:cs="Times New Roman"/>
          <w:sz w:val="24"/>
          <w:szCs w:val="24"/>
        </w:rPr>
        <w:t>Author Name</w:t>
      </w:r>
    </w:p>
    <w:p w:rsidR="00253BF2" w:rsidRPr="00070720" w:rsidRDefault="00253BF2" w:rsidP="00070720">
      <w:pPr>
        <w:spacing w:line="480" w:lineRule="auto"/>
        <w:jc w:val="center"/>
        <w:rPr>
          <w:rFonts w:ascii="Times New Roman" w:hAnsi="Times New Roman" w:cs="Times New Roman"/>
          <w:sz w:val="24"/>
          <w:szCs w:val="24"/>
        </w:rPr>
      </w:pPr>
      <w:r w:rsidRPr="00070720">
        <w:rPr>
          <w:rFonts w:ascii="Times New Roman" w:hAnsi="Times New Roman" w:cs="Times New Roman"/>
          <w:sz w:val="24"/>
          <w:szCs w:val="24"/>
        </w:rPr>
        <w:t>Institutional Affiliation</w:t>
      </w: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sz w:val="24"/>
          <w:szCs w:val="24"/>
        </w:rPr>
      </w:pPr>
    </w:p>
    <w:p w:rsidR="00A325C4" w:rsidRPr="00070720" w:rsidRDefault="00A325C4" w:rsidP="00070720">
      <w:pPr>
        <w:spacing w:line="480" w:lineRule="auto"/>
        <w:rPr>
          <w:rFonts w:ascii="Times New Roman" w:hAnsi="Times New Roman" w:cs="Times New Roman"/>
          <w:color w:val="1D1D1D"/>
          <w:sz w:val="24"/>
          <w:szCs w:val="24"/>
          <w:shd w:val="clear" w:color="auto" w:fill="FFFFFF"/>
        </w:rPr>
      </w:pPr>
    </w:p>
    <w:p w:rsidR="00A325C4" w:rsidRPr="00070720" w:rsidRDefault="00A325C4" w:rsidP="00070720">
      <w:pPr>
        <w:spacing w:line="480" w:lineRule="auto"/>
        <w:jc w:val="center"/>
        <w:rPr>
          <w:rFonts w:ascii="Times New Roman" w:hAnsi="Times New Roman" w:cs="Times New Roman"/>
          <w:color w:val="1D1D1D"/>
          <w:sz w:val="24"/>
          <w:szCs w:val="24"/>
          <w:shd w:val="clear" w:color="auto" w:fill="FFFFFF"/>
        </w:rPr>
      </w:pPr>
      <w:r w:rsidRPr="00070720">
        <w:rPr>
          <w:rFonts w:ascii="Times New Roman" w:hAnsi="Times New Roman" w:cs="Times New Roman"/>
          <w:color w:val="1D1D1D"/>
          <w:sz w:val="24"/>
          <w:szCs w:val="24"/>
          <w:shd w:val="clear" w:color="auto" w:fill="FFFFFF"/>
        </w:rPr>
        <w:lastRenderedPageBreak/>
        <w:t xml:space="preserve">The </w:t>
      </w:r>
      <w:r w:rsidRPr="00070720">
        <w:rPr>
          <w:rFonts w:ascii="Times New Roman" w:hAnsi="Times New Roman" w:cs="Times New Roman"/>
          <w:color w:val="1D1D1D"/>
          <w:sz w:val="24"/>
          <w:szCs w:val="24"/>
          <w:shd w:val="clear" w:color="auto" w:fill="FFFFFF"/>
        </w:rPr>
        <w:t>implications of Brexit on global economy</w:t>
      </w:r>
    </w:p>
    <w:p w:rsidR="00A325C4" w:rsidRPr="00070720" w:rsidRDefault="00A325C4" w:rsidP="00070720">
      <w:pPr>
        <w:spacing w:line="480" w:lineRule="auto"/>
        <w:rPr>
          <w:rFonts w:ascii="Times New Roman" w:hAnsi="Times New Roman" w:cs="Times New Roman"/>
          <w:color w:val="1D1D1D"/>
          <w:sz w:val="24"/>
          <w:szCs w:val="24"/>
          <w:shd w:val="clear" w:color="auto" w:fill="FFFFFF"/>
        </w:rPr>
      </w:pPr>
      <w:r w:rsidRPr="00070720">
        <w:rPr>
          <w:rFonts w:ascii="Times New Roman" w:hAnsi="Times New Roman" w:cs="Times New Roman"/>
          <w:sz w:val="24"/>
          <w:szCs w:val="24"/>
        </w:rPr>
        <w:t>There is a theory suggesting that the outcomes of the politics in referendums are required to change in accordance inclusion of the normal citizen in decision-making programs. The institution provisions give the common citizen of a country the right to decide on their own based on voting choices. The constitutions from Eastern and central Europe which are newly democratized, the debate on the opening of initial tests are analyzed by basing the facts on extant theoretical models. The constitution of the eastern and Europe countries distinguish themselves extensively from other countries in the world in reference to referendum provisions. There are reports that a decision made by Britain withdrawal from the European Union will cause grounded flights and amour commanded by the captain sent to protect the streets of British in case an agreement is not put into action. In this study, the economic impact of Britain decided to withdraw from EU is evaluated upon. However, unquantifiable facts may be the key determination whether Britain remains to be a member of EU given that Brexit descends to the delicately balanced calculation.</w:t>
      </w:r>
    </w:p>
    <w:p w:rsidR="00A325C4" w:rsidRPr="00070720" w:rsidRDefault="00A325C4" w:rsidP="00070720">
      <w:pPr>
        <w:spacing w:line="480" w:lineRule="auto"/>
        <w:rPr>
          <w:rFonts w:ascii="Times New Roman" w:hAnsi="Times New Roman" w:cs="Times New Roman"/>
          <w:sz w:val="24"/>
          <w:szCs w:val="24"/>
        </w:rPr>
      </w:pPr>
      <w:r w:rsidRPr="00070720">
        <w:rPr>
          <w:rFonts w:ascii="Times New Roman" w:hAnsi="Times New Roman" w:cs="Times New Roman"/>
          <w:sz w:val="24"/>
          <w:szCs w:val="24"/>
        </w:rPr>
        <w:t xml:space="preserve">A referendum is outlined to be a general voting process conducted over a specific voting question by a definite electorate. For this reason, the decision may be designed in a form of question through the ballot, or either through a polling process and in other cases can take the process of conduction a private survey. The majority vote brings about the results of the vote. There have been the effects macroeconomic effects of Brexit both in the long-run and short-run. </w:t>
      </w:r>
    </w:p>
    <w:p w:rsidR="00A325C4" w:rsidRPr="00070720" w:rsidRDefault="00A325C4" w:rsidP="00070720">
      <w:pPr>
        <w:spacing w:line="480" w:lineRule="auto"/>
        <w:rPr>
          <w:rFonts w:ascii="Times New Roman" w:hAnsi="Times New Roman" w:cs="Times New Roman"/>
          <w:sz w:val="24"/>
          <w:szCs w:val="24"/>
        </w:rPr>
      </w:pPr>
      <w:r w:rsidRPr="00070720">
        <w:rPr>
          <w:rFonts w:ascii="Times New Roman" w:hAnsi="Times New Roman" w:cs="Times New Roman"/>
          <w:sz w:val="24"/>
          <w:szCs w:val="24"/>
        </w:rPr>
        <w:t xml:space="preserve">There has been a variety of attempts that have been outsourced to model the consequences of Brexit on the ground of macroeconomics. These tests have come into a conclusion that that will be experienced a long-term loss of Gross Domestic Product for a countries economy in reference to the projections of the status quo effected on EU and its single market. The level of GDP is an </w:t>
      </w:r>
      <w:r w:rsidRPr="00070720">
        <w:rPr>
          <w:rFonts w:ascii="Times New Roman" w:hAnsi="Times New Roman" w:cs="Times New Roman"/>
          <w:sz w:val="24"/>
          <w:szCs w:val="24"/>
        </w:rPr>
        <w:lastRenderedPageBreak/>
        <w:t xml:space="preserve">experience to be lower than it would be expected. The main proximate cause of differences in GDP levels is based on assumptions that were made matters concerning the shifting of the current access by the UK to a new regime towards an approach of the EU single market. The UK faces restrictions. There are disagreements on methodology concerning the analytic techniques as well as assumptions. The approach that was adopted by Minford stands out from the rest and was thought to be the most problematic. This assumption was reached to its conclusion after an interrogation that was made by a group of economists. Booth, Howarth, Ruparel, &amp; </w:t>
      </w:r>
      <w:r w:rsidRPr="00070720">
        <w:rPr>
          <w:rFonts w:ascii="Times New Roman" w:hAnsi="Times New Roman" w:cs="Times New Roman"/>
          <w:sz w:val="24"/>
          <w:szCs w:val="24"/>
        </w:rPr>
        <w:t>Swidlicki (</w:t>
      </w:r>
      <w:r w:rsidRPr="00070720">
        <w:rPr>
          <w:rFonts w:ascii="Times New Roman" w:hAnsi="Times New Roman" w:cs="Times New Roman"/>
          <w:sz w:val="24"/>
          <w:szCs w:val="24"/>
        </w:rPr>
        <w:t>2015)</w:t>
      </w:r>
    </w:p>
    <w:p w:rsidR="00A325C4" w:rsidRPr="00070720" w:rsidRDefault="00A325C4" w:rsidP="00070720">
      <w:pPr>
        <w:spacing w:line="480" w:lineRule="auto"/>
        <w:rPr>
          <w:rFonts w:ascii="Times New Roman" w:hAnsi="Times New Roman" w:cs="Times New Roman"/>
          <w:sz w:val="24"/>
          <w:szCs w:val="24"/>
        </w:rPr>
      </w:pPr>
      <w:r w:rsidRPr="00070720">
        <w:rPr>
          <w:rFonts w:ascii="Times New Roman" w:hAnsi="Times New Roman" w:cs="Times New Roman"/>
          <w:sz w:val="24"/>
          <w:szCs w:val="24"/>
        </w:rPr>
        <w:t>On the grounds of short-run on macroeconomics, there is a consensus that there will be the effect of a short-term negative shock to the global economy caused by Brexit. The Economist has not yet come into a conclusion on the duration that this effect will be effective to the general economy. There is no clear whether it would depict permanent consequences or it would render limited immediate costs. The treasury has notably explained the two major reasons that have characterized the short-term effect. One of the proximate cause is the transitional cost changing into a reformed regime for investment and trade. The second rationale is the outcome of the referendum that has drugged invested being surrounded by uncertainty. Pain, &amp; Young, (2004).</w:t>
      </w:r>
    </w:p>
    <w:p w:rsidR="00A325C4" w:rsidRDefault="00A325C4" w:rsidP="00070720">
      <w:pPr>
        <w:spacing w:line="480" w:lineRule="auto"/>
        <w:rPr>
          <w:rFonts w:ascii="Times New Roman" w:hAnsi="Times New Roman" w:cs="Times New Roman"/>
          <w:sz w:val="24"/>
          <w:szCs w:val="24"/>
        </w:rPr>
      </w:pPr>
      <w:r w:rsidRPr="00070720">
        <w:rPr>
          <w:rFonts w:ascii="Times New Roman" w:hAnsi="Times New Roman" w:cs="Times New Roman"/>
          <w:sz w:val="24"/>
          <w:szCs w:val="24"/>
        </w:rPr>
        <w:t>There is both negative and positive migration from EU. There is limited disbelief that public services may rely on EU workers and that the labor supply in the EU was chari</w:t>
      </w:r>
      <w:r w:rsidR="00070720">
        <w:rPr>
          <w:rFonts w:ascii="Times New Roman" w:hAnsi="Times New Roman" w:cs="Times New Roman"/>
          <w:sz w:val="24"/>
          <w:szCs w:val="24"/>
        </w:rPr>
        <w:t>table on the provision of labor.</w:t>
      </w:r>
    </w:p>
    <w:p w:rsidR="00070720" w:rsidRPr="00070720" w:rsidRDefault="00070720" w:rsidP="00070720">
      <w:pPr>
        <w:spacing w:line="480" w:lineRule="auto"/>
        <w:rPr>
          <w:rFonts w:ascii="Times New Roman" w:hAnsi="Times New Roman" w:cs="Times New Roman"/>
          <w:sz w:val="24"/>
          <w:szCs w:val="24"/>
        </w:rPr>
      </w:pPr>
    </w:p>
    <w:p w:rsidR="00A325C4" w:rsidRDefault="00A325C4" w:rsidP="00070720">
      <w:pPr>
        <w:spacing w:line="480" w:lineRule="auto"/>
        <w:rPr>
          <w:rFonts w:ascii="Times New Roman" w:hAnsi="Times New Roman" w:cs="Times New Roman"/>
          <w:sz w:val="24"/>
          <w:szCs w:val="24"/>
        </w:rPr>
      </w:pPr>
    </w:p>
    <w:p w:rsidR="00070720" w:rsidRPr="00070720" w:rsidRDefault="00070720" w:rsidP="00070720">
      <w:pPr>
        <w:spacing w:line="480" w:lineRule="auto"/>
        <w:rPr>
          <w:rFonts w:ascii="Times New Roman" w:hAnsi="Times New Roman" w:cs="Times New Roman"/>
          <w:sz w:val="24"/>
          <w:szCs w:val="24"/>
        </w:rPr>
      </w:pPr>
      <w:bookmarkStart w:id="0" w:name="_GoBack"/>
      <w:bookmarkEnd w:id="0"/>
    </w:p>
    <w:p w:rsidR="00320CB9" w:rsidRPr="00070720" w:rsidRDefault="00320CB9" w:rsidP="00070720">
      <w:pPr>
        <w:pStyle w:val="cpformat"/>
        <w:spacing w:before="0" w:beforeAutospacing="0" w:after="0" w:afterAutospacing="0" w:line="480" w:lineRule="auto"/>
        <w:ind w:left="720" w:right="75" w:hanging="720"/>
        <w:jc w:val="center"/>
      </w:pPr>
      <w:r w:rsidRPr="00070720">
        <w:lastRenderedPageBreak/>
        <w:t>References</w:t>
      </w:r>
    </w:p>
    <w:p w:rsidR="00320CB9" w:rsidRPr="00070720" w:rsidRDefault="00320CB9" w:rsidP="00070720">
      <w:pPr>
        <w:spacing w:line="480" w:lineRule="auto"/>
        <w:ind w:left="2160" w:hanging="720"/>
        <w:rPr>
          <w:rFonts w:ascii="Times New Roman" w:hAnsi="Times New Roman" w:cs="Times New Roman"/>
          <w:sz w:val="24"/>
          <w:szCs w:val="24"/>
        </w:rPr>
      </w:pPr>
      <w:r w:rsidRPr="00070720">
        <w:rPr>
          <w:rFonts w:ascii="Times New Roman" w:hAnsi="Times New Roman" w:cs="Times New Roman"/>
          <w:sz w:val="24"/>
          <w:szCs w:val="24"/>
        </w:rPr>
        <w:t>Betts, A. (2016). Why Brexit happened -- and what to do next. Retrieved from https://www.ted.com/talks/alexander_betts_why_brexit_happened_and_what_to_do_next?language=en&amp;utm_campaign=tedspread&amp;utm_medium=referral&amp;utm_source=tedcomshare</w:t>
      </w:r>
    </w:p>
    <w:p w:rsidR="005A699E" w:rsidRPr="00070720" w:rsidRDefault="00320CB9" w:rsidP="00070720">
      <w:pPr>
        <w:spacing w:line="480" w:lineRule="auto"/>
        <w:ind w:left="2160" w:hanging="720"/>
        <w:rPr>
          <w:rFonts w:ascii="Times New Roman" w:hAnsi="Times New Roman" w:cs="Times New Roman"/>
          <w:sz w:val="24"/>
          <w:szCs w:val="24"/>
        </w:rPr>
      </w:pPr>
      <w:r w:rsidRPr="00070720">
        <w:rPr>
          <w:rFonts w:ascii="Times New Roman" w:hAnsi="Times New Roman" w:cs="Times New Roman"/>
          <w:sz w:val="24"/>
          <w:szCs w:val="24"/>
        </w:rPr>
        <w:t>Booth, S., Howarth, C., Ruparel, R., &amp; Swidlicki, P. (2015). What If...</w:t>
      </w:r>
      <w:r w:rsidR="00A325C4" w:rsidRPr="00070720">
        <w:rPr>
          <w:rFonts w:ascii="Times New Roman" w:hAnsi="Times New Roman" w:cs="Times New Roman"/>
          <w:sz w:val="24"/>
          <w:szCs w:val="24"/>
        </w:rPr>
        <w:t>?</w:t>
      </w:r>
      <w:r w:rsidRPr="00070720">
        <w:rPr>
          <w:rFonts w:ascii="Times New Roman" w:hAnsi="Times New Roman" w:cs="Times New Roman"/>
          <w:sz w:val="24"/>
          <w:szCs w:val="24"/>
        </w:rPr>
        <w:t xml:space="preserve"> The Consequences, Challenges &amp; Opportunities Facing Britain </w:t>
      </w:r>
      <w:r w:rsidR="00253BF2" w:rsidRPr="00070720">
        <w:rPr>
          <w:rFonts w:ascii="Times New Roman" w:hAnsi="Times New Roman" w:cs="Times New Roman"/>
          <w:sz w:val="24"/>
          <w:szCs w:val="24"/>
        </w:rPr>
        <w:t>outside</w:t>
      </w:r>
      <w:r w:rsidRPr="00070720">
        <w:rPr>
          <w:rFonts w:ascii="Times New Roman" w:hAnsi="Times New Roman" w:cs="Times New Roman"/>
          <w:sz w:val="24"/>
          <w:szCs w:val="24"/>
        </w:rPr>
        <w:t xml:space="preserve"> EU. Open Europe.</w:t>
      </w:r>
    </w:p>
    <w:p w:rsidR="000D4515" w:rsidRPr="00070720" w:rsidRDefault="000D4515" w:rsidP="00070720">
      <w:pPr>
        <w:spacing w:line="480" w:lineRule="auto"/>
        <w:ind w:left="2160" w:hanging="720"/>
        <w:rPr>
          <w:rFonts w:ascii="Times New Roman" w:hAnsi="Times New Roman" w:cs="Times New Roman"/>
          <w:sz w:val="24"/>
          <w:szCs w:val="24"/>
        </w:rPr>
      </w:pPr>
      <w:r w:rsidRPr="00070720">
        <w:rPr>
          <w:rFonts w:ascii="Times New Roman" w:hAnsi="Times New Roman" w:cs="Times New Roman"/>
          <w:sz w:val="24"/>
          <w:szCs w:val="24"/>
        </w:rPr>
        <w:t>Pain, N., &amp; Young, G. (2004). The macroeconomic impact of UK withdrawal from the EU. Economic modelling, 21(3), 387-408.</w:t>
      </w:r>
    </w:p>
    <w:sectPr w:rsidR="000D4515" w:rsidRPr="00070720" w:rsidSect="00F0266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4AC" w:rsidRDefault="00F264AC" w:rsidP="00253BF2">
      <w:pPr>
        <w:spacing w:after="0" w:line="240" w:lineRule="auto"/>
      </w:pPr>
      <w:r>
        <w:separator/>
      </w:r>
    </w:p>
  </w:endnote>
  <w:endnote w:type="continuationSeparator" w:id="0">
    <w:p w:rsidR="00F264AC" w:rsidRDefault="00F264AC" w:rsidP="00253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4AC" w:rsidRDefault="00F264AC" w:rsidP="00253BF2">
      <w:pPr>
        <w:spacing w:after="0" w:line="240" w:lineRule="auto"/>
      </w:pPr>
      <w:r>
        <w:separator/>
      </w:r>
    </w:p>
  </w:footnote>
  <w:footnote w:type="continuationSeparator" w:id="0">
    <w:p w:rsidR="00F264AC" w:rsidRDefault="00F264AC" w:rsidP="00253B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688507"/>
      <w:docPartObj>
        <w:docPartGallery w:val="Page Numbers (Top of Page)"/>
        <w:docPartUnique/>
      </w:docPartObj>
    </w:sdtPr>
    <w:sdtEndPr>
      <w:rPr>
        <w:noProof/>
      </w:rPr>
    </w:sdtEndPr>
    <w:sdtContent>
      <w:p w:rsidR="00253BF2" w:rsidRDefault="00253BF2" w:rsidP="00253BF2">
        <w:pPr>
          <w:pStyle w:val="Header"/>
        </w:pPr>
        <w:r>
          <w:t xml:space="preserve">Running head: IMPLICATIONS OF BREXIT ON GLOBAL ECONOMY                                                                      </w:t>
        </w:r>
        <w:r>
          <w:fldChar w:fldCharType="begin"/>
        </w:r>
        <w:r>
          <w:instrText xml:space="preserve"> PAGE   \* MERGEFORMAT </w:instrText>
        </w:r>
        <w:r>
          <w:fldChar w:fldCharType="separate"/>
        </w:r>
        <w:r w:rsidR="00070720">
          <w:rPr>
            <w:noProof/>
          </w:rPr>
          <w:t>1</w:t>
        </w:r>
        <w:r>
          <w:rPr>
            <w:noProof/>
          </w:rPr>
          <w:fldChar w:fldCharType="end"/>
        </w:r>
      </w:p>
    </w:sdtContent>
  </w:sdt>
  <w:p w:rsidR="00253BF2" w:rsidRDefault="00253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66D"/>
    <w:rsid w:val="00070720"/>
    <w:rsid w:val="000D4515"/>
    <w:rsid w:val="00253BF2"/>
    <w:rsid w:val="00320CB9"/>
    <w:rsid w:val="003744EC"/>
    <w:rsid w:val="00451F71"/>
    <w:rsid w:val="005A699E"/>
    <w:rsid w:val="00736748"/>
    <w:rsid w:val="00A325C4"/>
    <w:rsid w:val="00F0266D"/>
    <w:rsid w:val="00F26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C3166-88A1-406C-A470-703C09C0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66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0CB9"/>
    <w:rPr>
      <w:color w:val="0000FF"/>
      <w:u w:val="single"/>
    </w:rPr>
  </w:style>
  <w:style w:type="character" w:customStyle="1" w:styleId="dn">
    <w:name w:val="d:n"/>
    <w:basedOn w:val="DefaultParagraphFont"/>
    <w:rsid w:val="00320CB9"/>
  </w:style>
  <w:style w:type="paragraph" w:customStyle="1" w:styleId="cpformat">
    <w:name w:val="cpformat"/>
    <w:basedOn w:val="Normal"/>
    <w:rsid w:val="00320C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53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BF2"/>
  </w:style>
  <w:style w:type="paragraph" w:styleId="Footer">
    <w:name w:val="footer"/>
    <w:basedOn w:val="Normal"/>
    <w:link w:val="FooterChar"/>
    <w:uiPriority w:val="99"/>
    <w:unhideWhenUsed/>
    <w:rsid w:val="00253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039157">
      <w:bodyDiv w:val="1"/>
      <w:marLeft w:val="0"/>
      <w:marRight w:val="0"/>
      <w:marTop w:val="0"/>
      <w:marBottom w:val="0"/>
      <w:divBdr>
        <w:top w:val="none" w:sz="0" w:space="0" w:color="auto"/>
        <w:left w:val="none" w:sz="0" w:space="0" w:color="auto"/>
        <w:bottom w:val="none" w:sz="0" w:space="0" w:color="auto"/>
        <w:right w:val="none" w:sz="0" w:space="0" w:color="auto"/>
      </w:divBdr>
      <w:divsChild>
        <w:div w:id="1003512140">
          <w:marLeft w:val="0"/>
          <w:marRight w:val="0"/>
          <w:marTop w:val="0"/>
          <w:marBottom w:val="0"/>
          <w:divBdr>
            <w:top w:val="none" w:sz="0" w:space="0" w:color="auto"/>
            <w:left w:val="none" w:sz="0" w:space="0" w:color="auto"/>
            <w:bottom w:val="none" w:sz="0" w:space="0" w:color="auto"/>
            <w:right w:val="none" w:sz="0" w:space="0" w:color="auto"/>
          </w:divBdr>
          <w:divsChild>
            <w:div w:id="1552696043">
              <w:marLeft w:val="0"/>
              <w:marRight w:val="0"/>
              <w:marTop w:val="0"/>
              <w:marBottom w:val="0"/>
              <w:divBdr>
                <w:top w:val="none" w:sz="0" w:space="0" w:color="auto"/>
                <w:left w:val="none" w:sz="0" w:space="0" w:color="auto"/>
                <w:bottom w:val="none" w:sz="0" w:space="0" w:color="auto"/>
                <w:right w:val="none" w:sz="0" w:space="0" w:color="auto"/>
              </w:divBdr>
              <w:divsChild>
                <w:div w:id="1687713643">
                  <w:marLeft w:val="0"/>
                  <w:marRight w:val="0"/>
                  <w:marTop w:val="0"/>
                  <w:marBottom w:val="0"/>
                  <w:divBdr>
                    <w:top w:val="none" w:sz="0" w:space="0" w:color="auto"/>
                    <w:left w:val="none" w:sz="0" w:space="0" w:color="auto"/>
                    <w:bottom w:val="none" w:sz="0" w:space="0" w:color="auto"/>
                    <w:right w:val="none" w:sz="0" w:space="0" w:color="auto"/>
                  </w:divBdr>
                  <w:divsChild>
                    <w:div w:id="132862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386">
              <w:marLeft w:val="0"/>
              <w:marRight w:val="0"/>
              <w:marTop w:val="0"/>
              <w:marBottom w:val="0"/>
              <w:divBdr>
                <w:top w:val="none" w:sz="0" w:space="0" w:color="auto"/>
                <w:left w:val="none" w:sz="0" w:space="0" w:color="auto"/>
                <w:bottom w:val="none" w:sz="0" w:space="0" w:color="auto"/>
                <w:right w:val="none" w:sz="0" w:space="0" w:color="auto"/>
              </w:divBdr>
              <w:divsChild>
                <w:div w:id="205731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35609">
      <w:bodyDiv w:val="1"/>
      <w:marLeft w:val="0"/>
      <w:marRight w:val="0"/>
      <w:marTop w:val="0"/>
      <w:marBottom w:val="0"/>
      <w:divBdr>
        <w:top w:val="none" w:sz="0" w:space="0" w:color="auto"/>
        <w:left w:val="none" w:sz="0" w:space="0" w:color="auto"/>
        <w:bottom w:val="none" w:sz="0" w:space="0" w:color="auto"/>
        <w:right w:val="none" w:sz="0" w:space="0" w:color="auto"/>
      </w:divBdr>
    </w:div>
    <w:div w:id="1419326818">
      <w:bodyDiv w:val="1"/>
      <w:marLeft w:val="0"/>
      <w:marRight w:val="0"/>
      <w:marTop w:val="0"/>
      <w:marBottom w:val="0"/>
      <w:divBdr>
        <w:top w:val="none" w:sz="0" w:space="0" w:color="auto"/>
        <w:left w:val="none" w:sz="0" w:space="0" w:color="auto"/>
        <w:bottom w:val="none" w:sz="0" w:space="0" w:color="auto"/>
        <w:right w:val="none" w:sz="0" w:space="0" w:color="auto"/>
      </w:divBdr>
    </w:div>
    <w:div w:id="1997100287">
      <w:bodyDiv w:val="1"/>
      <w:marLeft w:val="0"/>
      <w:marRight w:val="0"/>
      <w:marTop w:val="0"/>
      <w:marBottom w:val="0"/>
      <w:divBdr>
        <w:top w:val="none" w:sz="0" w:space="0" w:color="auto"/>
        <w:left w:val="none" w:sz="0" w:space="0" w:color="auto"/>
        <w:bottom w:val="none" w:sz="0" w:space="0" w:color="auto"/>
        <w:right w:val="none" w:sz="0" w:space="0" w:color="auto"/>
      </w:divBdr>
      <w:divsChild>
        <w:div w:id="296882609">
          <w:marLeft w:val="0"/>
          <w:marRight w:val="0"/>
          <w:marTop w:val="0"/>
          <w:marBottom w:val="0"/>
          <w:divBdr>
            <w:top w:val="none" w:sz="0" w:space="0" w:color="auto"/>
            <w:left w:val="none" w:sz="0" w:space="0" w:color="auto"/>
            <w:bottom w:val="none" w:sz="0" w:space="0" w:color="auto"/>
            <w:right w:val="none" w:sz="0" w:space="0" w:color="auto"/>
          </w:divBdr>
        </w:div>
        <w:div w:id="997078821">
          <w:marLeft w:val="0"/>
          <w:marRight w:val="0"/>
          <w:marTop w:val="0"/>
          <w:marBottom w:val="0"/>
          <w:divBdr>
            <w:top w:val="none" w:sz="0" w:space="0" w:color="auto"/>
            <w:left w:val="none" w:sz="0" w:space="0" w:color="auto"/>
            <w:bottom w:val="none" w:sz="0" w:space="0" w:color="auto"/>
            <w:right w:val="none" w:sz="0" w:space="0" w:color="auto"/>
          </w:divBdr>
        </w:div>
        <w:div w:id="560990431">
          <w:marLeft w:val="0"/>
          <w:marRight w:val="0"/>
          <w:marTop w:val="0"/>
          <w:marBottom w:val="0"/>
          <w:divBdr>
            <w:top w:val="none" w:sz="0" w:space="0" w:color="auto"/>
            <w:left w:val="none" w:sz="0" w:space="0" w:color="auto"/>
            <w:bottom w:val="none" w:sz="0" w:space="0" w:color="auto"/>
            <w:right w:val="none" w:sz="0" w:space="0" w:color="auto"/>
          </w:divBdr>
        </w:div>
        <w:div w:id="1586646913">
          <w:marLeft w:val="0"/>
          <w:marRight w:val="0"/>
          <w:marTop w:val="0"/>
          <w:marBottom w:val="0"/>
          <w:divBdr>
            <w:top w:val="none" w:sz="0" w:space="0" w:color="auto"/>
            <w:left w:val="none" w:sz="0" w:space="0" w:color="auto"/>
            <w:bottom w:val="none" w:sz="0" w:space="0" w:color="auto"/>
            <w:right w:val="none" w:sz="0" w:space="0" w:color="auto"/>
          </w:divBdr>
        </w:div>
        <w:div w:id="741492243">
          <w:marLeft w:val="0"/>
          <w:marRight w:val="0"/>
          <w:marTop w:val="0"/>
          <w:marBottom w:val="0"/>
          <w:divBdr>
            <w:top w:val="none" w:sz="0" w:space="0" w:color="auto"/>
            <w:left w:val="none" w:sz="0" w:space="0" w:color="auto"/>
            <w:bottom w:val="none" w:sz="0" w:space="0" w:color="auto"/>
            <w:right w:val="none" w:sz="0" w:space="0" w:color="auto"/>
          </w:divBdr>
        </w:div>
        <w:div w:id="1369717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4</cp:revision>
  <dcterms:created xsi:type="dcterms:W3CDTF">2018-12-18T04:47:00Z</dcterms:created>
  <dcterms:modified xsi:type="dcterms:W3CDTF">2018-12-18T05:39:00Z</dcterms:modified>
</cp:coreProperties>
</file>